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40" w:type="dxa"/>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0" w:type="dxa"/>
          <w:right w:w="0" w:type="dxa"/>
        </w:tblCellMar>
        <w:tblLook w:val="01E0" w:firstRow="1" w:lastRow="1" w:firstColumn="1" w:lastColumn="1" w:noHBand="0" w:noVBand="0"/>
      </w:tblPr>
      <w:tblGrid>
        <w:gridCol w:w="1864"/>
        <w:gridCol w:w="7176"/>
      </w:tblGrid>
      <w:tr w:rsidR="0017217D" w14:paraId="53E297EA" w14:textId="77777777" w:rsidTr="0478727C">
        <w:trPr>
          <w:trHeight w:val="345"/>
        </w:trPr>
        <w:tc>
          <w:tcPr>
            <w:tcW w:w="1864" w:type="dxa"/>
          </w:tcPr>
          <w:p w14:paraId="23FE9CEF" w14:textId="6B883589" w:rsidR="0017217D" w:rsidRDefault="0C129A2B" w:rsidP="0478727C">
            <w:pPr>
              <w:pStyle w:val="TableParagraph"/>
              <w:spacing w:before="25"/>
              <w:ind w:left="299"/>
              <w:rPr>
                <w:b/>
                <w:bCs/>
                <w:sz w:val="24"/>
                <w:szCs w:val="24"/>
              </w:rPr>
            </w:pPr>
            <w:r w:rsidRPr="0478727C">
              <w:rPr>
                <w:b/>
                <w:bCs/>
                <w:sz w:val="24"/>
                <w:szCs w:val="24"/>
              </w:rPr>
              <w:t xml:space="preserve">Policy No.  </w:t>
            </w:r>
            <w:r w:rsidR="38C29F16" w:rsidRPr="0478727C">
              <w:rPr>
                <w:b/>
                <w:bCs/>
                <w:sz w:val="24"/>
                <w:szCs w:val="24"/>
              </w:rPr>
              <w:t>16</w:t>
            </w:r>
          </w:p>
        </w:tc>
        <w:tc>
          <w:tcPr>
            <w:tcW w:w="7176" w:type="dxa"/>
          </w:tcPr>
          <w:p w14:paraId="79D74E45" w14:textId="2688535D" w:rsidR="0017217D" w:rsidRDefault="00CB687F" w:rsidP="00F52E43">
            <w:pPr>
              <w:pStyle w:val="TableParagraph"/>
              <w:spacing w:before="25"/>
              <w:ind w:left="125" w:right="-36"/>
              <w:jc w:val="center"/>
              <w:rPr>
                <w:b/>
                <w:sz w:val="24"/>
              </w:rPr>
            </w:pPr>
            <w:r>
              <w:rPr>
                <w:b/>
                <w:sz w:val="24"/>
              </w:rPr>
              <w:t>Managing Contracts and Funding Arrangements</w:t>
            </w:r>
          </w:p>
        </w:tc>
      </w:tr>
    </w:tbl>
    <w:p w14:paraId="398F8C76" w14:textId="77777777" w:rsidR="00473F64" w:rsidRDefault="00473F64" w:rsidP="0017217D">
      <w:pPr>
        <w:pStyle w:val="NoSpacing"/>
      </w:pPr>
    </w:p>
    <w:p w14:paraId="2451512A" w14:textId="4CA7AF43" w:rsidR="00BA6C86" w:rsidRDefault="00BA6C86" w:rsidP="00BA6C86">
      <w:pPr>
        <w:pStyle w:val="Heading2"/>
      </w:pPr>
      <w:r>
        <w:t>Application</w:t>
      </w:r>
    </w:p>
    <w:p w14:paraId="365FB3C6" w14:textId="77777777" w:rsidR="00007F42" w:rsidRDefault="00007F42" w:rsidP="00007F42">
      <w:pPr>
        <w:pStyle w:val="NoSpacing"/>
      </w:pPr>
      <w:r>
        <w:t xml:space="preserve">This policy applies to all Workers and Board Directors of </w:t>
      </w:r>
      <w:r w:rsidRPr="00BE666D">
        <w:rPr>
          <w:highlight w:val="yellow"/>
        </w:rPr>
        <w:t>[Organisation, fully spelled out and then abbreviated]</w:t>
      </w:r>
      <w:r>
        <w:t>.</w:t>
      </w:r>
    </w:p>
    <w:p w14:paraId="10808355" w14:textId="77777777" w:rsidR="00007F42" w:rsidRDefault="00007F42" w:rsidP="00007F42">
      <w:pPr>
        <w:pStyle w:val="NoSpacing"/>
      </w:pPr>
    </w:p>
    <w:p w14:paraId="2D3B0389" w14:textId="77777777" w:rsidR="00007F42" w:rsidRDefault="00007F42" w:rsidP="00007F42">
      <w:pPr>
        <w:pStyle w:val="NoSpacing"/>
      </w:pPr>
      <w:r>
        <w:t>This policy applies to all Workers and Board Directors of [ORG] in all facets of their engagement, including, but not limited to, while Workers are in the workplace or off site, at work-related functions (including social functions and celebrations), in company vehicles, while on work-related trips and while attending work-related conferences.</w:t>
      </w:r>
    </w:p>
    <w:p w14:paraId="6608FC06" w14:textId="77777777" w:rsidR="00BA6C86" w:rsidRDefault="00BA6C86" w:rsidP="00BA6C86">
      <w:pPr>
        <w:pStyle w:val="NoSpacing"/>
      </w:pPr>
    </w:p>
    <w:p w14:paraId="01B94E1F" w14:textId="77777777" w:rsidR="00BA6C86" w:rsidRDefault="00BA6C86" w:rsidP="00BA6C86">
      <w:pPr>
        <w:pStyle w:val="Heading2"/>
      </w:pPr>
      <w:r>
        <w:t>Definitions</w:t>
      </w:r>
    </w:p>
    <w:p w14:paraId="3CF6A9DE" w14:textId="2128861E" w:rsidR="00BA6C86" w:rsidRDefault="00BA6C86" w:rsidP="00BD29A0">
      <w:pPr>
        <w:pStyle w:val="NoSpacing"/>
        <w:ind w:firstLine="720"/>
      </w:pPr>
      <w:r w:rsidRPr="00BD29A0">
        <w:rPr>
          <w:b/>
          <w:bCs/>
        </w:rPr>
        <w:t>“Board Director”</w:t>
      </w:r>
      <w:r>
        <w:tab/>
        <w:t xml:space="preserve">means a member of the board of </w:t>
      </w:r>
      <w:r w:rsidR="00007F42">
        <w:t>[ORG]</w:t>
      </w:r>
      <w:r>
        <w:t>.</w:t>
      </w:r>
    </w:p>
    <w:p w14:paraId="24B224F2" w14:textId="77777777" w:rsidR="00BA6C86" w:rsidRDefault="00BA6C86" w:rsidP="00BA6C86">
      <w:pPr>
        <w:pStyle w:val="NoSpacing"/>
      </w:pPr>
    </w:p>
    <w:p w14:paraId="61402A2F" w14:textId="6FCCC345" w:rsidR="00BA6C86" w:rsidRDefault="00BA6C86" w:rsidP="00BD29A0">
      <w:pPr>
        <w:pStyle w:val="NoSpacing"/>
        <w:ind w:left="2880" w:hanging="2160"/>
      </w:pPr>
      <w:r w:rsidRPr="00BD29A0">
        <w:rPr>
          <w:b/>
          <w:bCs/>
        </w:rPr>
        <w:t>“Worker”</w:t>
      </w:r>
      <w:r>
        <w:tab/>
        <w:t xml:space="preserve">means all staff (full-time, part-time, casual, permanent or temporary), contract or commission workers and volunteers, vocational and work experience placements at </w:t>
      </w:r>
      <w:r w:rsidR="00007F42">
        <w:t>[ORG]</w:t>
      </w:r>
      <w:r>
        <w:t>.</w:t>
      </w:r>
    </w:p>
    <w:p w14:paraId="759F37D8" w14:textId="77777777" w:rsidR="00BA6C86" w:rsidRDefault="00BA6C86" w:rsidP="00BA6C86">
      <w:pPr>
        <w:pStyle w:val="NoSpacing"/>
      </w:pPr>
    </w:p>
    <w:p w14:paraId="782E5373" w14:textId="77777777" w:rsidR="00BA6C86" w:rsidRDefault="00BA6C86" w:rsidP="00BA6C86">
      <w:pPr>
        <w:pStyle w:val="Heading2"/>
      </w:pPr>
      <w:r>
        <w:t>The Policy</w:t>
      </w:r>
    </w:p>
    <w:p w14:paraId="6C9AA0E6" w14:textId="77777777" w:rsidR="00CB687F" w:rsidRPr="00CB687F" w:rsidRDefault="00CB687F" w:rsidP="00CB687F">
      <w:pPr>
        <w:pStyle w:val="NoSpacing"/>
      </w:pPr>
    </w:p>
    <w:p w14:paraId="665ECACC" w14:textId="58BE5065" w:rsidR="00CB687F" w:rsidRPr="00CB687F" w:rsidRDefault="00CB687F" w:rsidP="7696537B">
      <w:pPr>
        <w:pStyle w:val="Heading3"/>
      </w:pPr>
      <w:r>
        <w:t>Generally</w:t>
      </w:r>
    </w:p>
    <w:p w14:paraId="5D96D032" w14:textId="0F199505" w:rsidR="00CB687F" w:rsidRPr="00CB687F" w:rsidRDefault="00007F42" w:rsidP="00CB687F">
      <w:pPr>
        <w:pStyle w:val="NoSpacing"/>
      </w:pPr>
      <w:r>
        <w:t>[ORG]</w:t>
      </w:r>
      <w:r w:rsidR="00CB687F" w:rsidRPr="00CB687F">
        <w:t xml:space="preserve"> applies for and accepts funding from government agencies or other funding bodies for the provision of well-being support services and legal support services to Aboriginal and Torres Strait Islander Peoples.  </w:t>
      </w:r>
      <w:r>
        <w:t>[ORG]</w:t>
      </w:r>
      <w:r w:rsidR="00CB687F" w:rsidRPr="00CB687F">
        <w:t xml:space="preserve"> also undertakes to meet performance targets specified in funding agreements, and to comply with reporting requirements.</w:t>
      </w:r>
    </w:p>
    <w:p w14:paraId="7DBDF111" w14:textId="77777777" w:rsidR="00CB687F" w:rsidRPr="00CB687F" w:rsidRDefault="00CB687F" w:rsidP="00CB687F">
      <w:pPr>
        <w:pStyle w:val="NoSpacing"/>
      </w:pPr>
    </w:p>
    <w:p w14:paraId="7AD61062" w14:textId="5D7B5292" w:rsidR="00CB687F" w:rsidRPr="00CB687F" w:rsidRDefault="00007F42" w:rsidP="00CB687F">
      <w:pPr>
        <w:pStyle w:val="NoSpacing"/>
      </w:pPr>
      <w:r>
        <w:t>[ORG]</w:t>
      </w:r>
      <w:r w:rsidR="00CB687F" w:rsidRPr="00CB687F">
        <w:t xml:space="preserve"> is committed to meeting its legal obligations and maintaining positive working relationships with its contract partners. When </w:t>
      </w:r>
      <w:r>
        <w:t>[ORG]</w:t>
      </w:r>
      <w:r w:rsidR="00CB687F" w:rsidRPr="00CB687F">
        <w:t xml:space="preserve"> enters into a contract for services with funding providers, the contract forms part of </w:t>
      </w:r>
      <w:r>
        <w:t>[ORG]</w:t>
      </w:r>
      <w:r w:rsidR="00CB687F" w:rsidRPr="00CB687F">
        <w:t xml:space="preserve"> legal obligations.</w:t>
      </w:r>
    </w:p>
    <w:p w14:paraId="013F7F82" w14:textId="77777777" w:rsidR="00CB687F" w:rsidRPr="00CB687F" w:rsidRDefault="00CB687F" w:rsidP="00CB687F">
      <w:pPr>
        <w:pStyle w:val="NoSpacing"/>
      </w:pPr>
    </w:p>
    <w:p w14:paraId="7C0B5419" w14:textId="77777777" w:rsidR="00CB687F" w:rsidRPr="00CB687F" w:rsidRDefault="00CB687F" w:rsidP="00CB687F">
      <w:pPr>
        <w:pStyle w:val="NoSpacing"/>
      </w:pPr>
      <w:r w:rsidRPr="00CB687F">
        <w:t>The Board delegates authority to the Chief Executive Officer to sign any contract on behalf of the organisation that are within its delegated authority.</w:t>
      </w:r>
    </w:p>
    <w:p w14:paraId="59A633ED" w14:textId="77777777" w:rsidR="00CB687F" w:rsidRPr="00CB687F" w:rsidRDefault="00CB687F" w:rsidP="00CB687F">
      <w:pPr>
        <w:pStyle w:val="NoSpacing"/>
      </w:pPr>
    </w:p>
    <w:p w14:paraId="4CDB26B0" w14:textId="3F29ED60" w:rsidR="00CB687F" w:rsidRPr="00CB687F" w:rsidRDefault="00007F42" w:rsidP="00CB687F">
      <w:pPr>
        <w:pStyle w:val="NoSpacing"/>
      </w:pPr>
      <w:r>
        <w:t>[ORG]</w:t>
      </w:r>
      <w:r w:rsidR="00CB687F">
        <w:t xml:space="preserve"> deals with the following types of contracts and agreements:</w:t>
      </w:r>
    </w:p>
    <w:p w14:paraId="48DF64E1" w14:textId="5BF07523" w:rsidR="00CB687F" w:rsidRPr="00CB687F" w:rsidRDefault="00CB687F" w:rsidP="7696537B">
      <w:pPr>
        <w:pStyle w:val="NoSpacing"/>
        <w:numPr>
          <w:ilvl w:val="0"/>
          <w:numId w:val="6"/>
        </w:numPr>
      </w:pPr>
      <w:r w:rsidRPr="7696537B">
        <w:rPr>
          <w:b/>
          <w:bCs/>
        </w:rPr>
        <w:t xml:space="preserve">Funding agreements: </w:t>
      </w:r>
      <w:r>
        <w:t xml:space="preserve">Initial contract is provided by the funding agency and </w:t>
      </w:r>
      <w:r w:rsidR="00007F42">
        <w:t>[ORG]</w:t>
      </w:r>
      <w:r>
        <w:t xml:space="preserve"> reviews and negotiates on the terms and conditions proposed.</w:t>
      </w:r>
    </w:p>
    <w:p w14:paraId="228E4A4E" w14:textId="22E19DB5" w:rsidR="00CB687F" w:rsidRPr="00CB687F" w:rsidRDefault="00CB687F" w:rsidP="7696537B">
      <w:pPr>
        <w:pStyle w:val="NoSpacing"/>
        <w:numPr>
          <w:ilvl w:val="0"/>
          <w:numId w:val="6"/>
        </w:numPr>
      </w:pPr>
      <w:r w:rsidRPr="7696537B">
        <w:rPr>
          <w:b/>
          <w:bCs/>
        </w:rPr>
        <w:t xml:space="preserve">Consultant or contractor agreements: </w:t>
      </w:r>
      <w:r>
        <w:t xml:space="preserve">Initial contract is usually provided by </w:t>
      </w:r>
      <w:r w:rsidR="00007F42">
        <w:t>[ORG]</w:t>
      </w:r>
      <w:r>
        <w:t xml:space="preserve"> and the consultant or contractor may negotiate on the terms and conditions.</w:t>
      </w:r>
    </w:p>
    <w:p w14:paraId="47C557F2" w14:textId="7A4B4553" w:rsidR="00CB687F" w:rsidRPr="00CB687F" w:rsidRDefault="00CB687F" w:rsidP="00CB687F">
      <w:pPr>
        <w:pStyle w:val="NoSpacing"/>
        <w:numPr>
          <w:ilvl w:val="0"/>
          <w:numId w:val="6"/>
        </w:numPr>
      </w:pPr>
      <w:r w:rsidRPr="7696537B">
        <w:rPr>
          <w:b/>
          <w:bCs/>
        </w:rPr>
        <w:t>Service agreements (</w:t>
      </w:r>
      <w:r w:rsidR="052F4AE0" w:rsidRPr="7696537B">
        <w:rPr>
          <w:b/>
          <w:bCs/>
        </w:rPr>
        <w:t>e.g.,</w:t>
      </w:r>
      <w:r w:rsidRPr="7696537B">
        <w:rPr>
          <w:b/>
          <w:bCs/>
        </w:rPr>
        <w:t xml:space="preserve"> equipment leasing, telephone contracts): </w:t>
      </w:r>
      <w:r>
        <w:t xml:space="preserve">Initial contract is provided by the supplier and </w:t>
      </w:r>
      <w:r w:rsidR="00007F42">
        <w:t>[ORG]</w:t>
      </w:r>
      <w:r>
        <w:t xml:space="preserve"> usually has limited capacity to negotiate other than on the details of supply (price, timing</w:t>
      </w:r>
      <w:r w:rsidR="5C34E9A4">
        <w:t>,</w:t>
      </w:r>
      <w:r>
        <w:t xml:space="preserve"> etc.).</w:t>
      </w:r>
    </w:p>
    <w:p w14:paraId="78CBAEEF" w14:textId="763C8D4F" w:rsidR="00CB687F" w:rsidRPr="00CB687F" w:rsidRDefault="00CB687F" w:rsidP="00CB687F">
      <w:pPr>
        <w:pStyle w:val="NoSpacing"/>
      </w:pPr>
    </w:p>
    <w:p w14:paraId="4425E9CF" w14:textId="3E19BB0F" w:rsidR="00CB687F" w:rsidRPr="00CB687F" w:rsidRDefault="00CB687F" w:rsidP="00CB687F">
      <w:pPr>
        <w:pStyle w:val="Heading3"/>
      </w:pPr>
      <w:r w:rsidRPr="00CB687F">
        <w:t>Responsibilities</w:t>
      </w:r>
    </w:p>
    <w:p w14:paraId="5093FFD1" w14:textId="625C0923" w:rsidR="00CB687F" w:rsidRPr="00CB687F" w:rsidRDefault="00CB687F" w:rsidP="00CB687F">
      <w:pPr>
        <w:pStyle w:val="NoSpacing"/>
      </w:pPr>
      <w:r>
        <w:t>The Chief Executive Officer is responsible for:</w:t>
      </w:r>
    </w:p>
    <w:p w14:paraId="511F4619" w14:textId="712B604D" w:rsidR="00CB687F" w:rsidRPr="00CB687F" w:rsidRDefault="00CB687F" w:rsidP="7696537B">
      <w:pPr>
        <w:pStyle w:val="NoSpacing"/>
        <w:numPr>
          <w:ilvl w:val="0"/>
          <w:numId w:val="5"/>
        </w:numPr>
      </w:pPr>
      <w:r>
        <w:t>The negotiation of funding agreements and liaison with funding agencies concerning the funding agreement;</w:t>
      </w:r>
    </w:p>
    <w:p w14:paraId="37D1141C" w14:textId="77777777" w:rsidR="00CB687F" w:rsidRPr="00CB687F" w:rsidRDefault="00CB687F" w:rsidP="00CB687F">
      <w:pPr>
        <w:pStyle w:val="NoSpacing"/>
        <w:numPr>
          <w:ilvl w:val="0"/>
          <w:numId w:val="5"/>
        </w:numPr>
      </w:pPr>
      <w:r w:rsidRPr="00CB687F">
        <w:t>The negotiation of consultant or contractor agreements; and</w:t>
      </w:r>
    </w:p>
    <w:p w14:paraId="6AFD46A4" w14:textId="77777777" w:rsidR="00CB687F" w:rsidRPr="00CB687F" w:rsidRDefault="00CB687F" w:rsidP="00CB687F">
      <w:pPr>
        <w:pStyle w:val="NoSpacing"/>
        <w:numPr>
          <w:ilvl w:val="0"/>
          <w:numId w:val="5"/>
        </w:numPr>
      </w:pPr>
      <w:r w:rsidRPr="00CB687F">
        <w:t>The negotiation of service agreements.</w:t>
      </w:r>
    </w:p>
    <w:p w14:paraId="721A013C" w14:textId="77777777" w:rsidR="00CB687F" w:rsidRDefault="00CB687F" w:rsidP="00CB687F">
      <w:pPr>
        <w:pStyle w:val="NoSpacing"/>
      </w:pPr>
    </w:p>
    <w:p w14:paraId="118C04EE" w14:textId="7C29FE9F" w:rsidR="00CB687F" w:rsidRPr="00CB687F" w:rsidRDefault="00CB687F" w:rsidP="00CB687F">
      <w:pPr>
        <w:pStyle w:val="NoSpacing"/>
      </w:pPr>
      <w:r w:rsidRPr="00CB687F">
        <w:t>It is the responsibility of the Chief Executive Officer to ensure that any contract or agreement entered into contains:</w:t>
      </w:r>
    </w:p>
    <w:p w14:paraId="43A5E1F9" w14:textId="77777777" w:rsidR="00CB687F" w:rsidRPr="00CB687F" w:rsidRDefault="00CB687F" w:rsidP="00CB687F">
      <w:pPr>
        <w:pStyle w:val="NoSpacing"/>
        <w:numPr>
          <w:ilvl w:val="0"/>
          <w:numId w:val="5"/>
        </w:numPr>
      </w:pPr>
      <w:r w:rsidRPr="00CB687F">
        <w:t>Clear specification of the services or activities, including goals and targets;</w:t>
      </w:r>
    </w:p>
    <w:p w14:paraId="4DDADA2F" w14:textId="77777777" w:rsidR="00CB687F" w:rsidRPr="00CB687F" w:rsidRDefault="00CB687F" w:rsidP="00CB687F">
      <w:pPr>
        <w:pStyle w:val="NoSpacing"/>
        <w:numPr>
          <w:ilvl w:val="0"/>
          <w:numId w:val="5"/>
        </w:numPr>
      </w:pPr>
      <w:r w:rsidRPr="00CB687F">
        <w:t>Timeframe for delivery;</w:t>
      </w:r>
    </w:p>
    <w:p w14:paraId="5FF116E9" w14:textId="77777777" w:rsidR="00CB687F" w:rsidRPr="00CB687F" w:rsidRDefault="00CB687F" w:rsidP="00CB687F">
      <w:pPr>
        <w:pStyle w:val="NoSpacing"/>
        <w:numPr>
          <w:ilvl w:val="0"/>
          <w:numId w:val="5"/>
        </w:numPr>
      </w:pPr>
      <w:r w:rsidRPr="00CB687F">
        <w:t>Agreed pricing and time frames for payment;</w:t>
      </w:r>
    </w:p>
    <w:p w14:paraId="3F08E0AE" w14:textId="77777777" w:rsidR="00CB687F" w:rsidRPr="00CB687F" w:rsidRDefault="00CB687F" w:rsidP="00CB687F">
      <w:pPr>
        <w:pStyle w:val="NoSpacing"/>
        <w:numPr>
          <w:ilvl w:val="0"/>
          <w:numId w:val="5"/>
        </w:numPr>
      </w:pPr>
      <w:r w:rsidRPr="00CB687F">
        <w:t>Dispute resolution and termination mechanism; and</w:t>
      </w:r>
    </w:p>
    <w:p w14:paraId="52A04C99" w14:textId="77777777" w:rsidR="00CB687F" w:rsidRPr="00CB687F" w:rsidRDefault="00CB687F" w:rsidP="00CB687F">
      <w:pPr>
        <w:pStyle w:val="NoSpacing"/>
        <w:numPr>
          <w:ilvl w:val="0"/>
          <w:numId w:val="5"/>
        </w:numPr>
      </w:pPr>
      <w:r w:rsidRPr="00CB687F">
        <w:t>An indication of compliance with relevant service standards and statutory requirements.</w:t>
      </w:r>
    </w:p>
    <w:p w14:paraId="3D05AAD6" w14:textId="77777777" w:rsidR="00CB687F" w:rsidRDefault="00CB687F" w:rsidP="00CB687F">
      <w:pPr>
        <w:pStyle w:val="NoSpacing"/>
      </w:pPr>
    </w:p>
    <w:p w14:paraId="36A029BD" w14:textId="1D779C46" w:rsidR="00CB687F" w:rsidRPr="00CB687F" w:rsidRDefault="00CB687F" w:rsidP="00CB687F">
      <w:pPr>
        <w:pStyle w:val="NoSpacing"/>
      </w:pPr>
      <w:r w:rsidRPr="00CB687F">
        <w:t>The Chief Executive Officer is also responsible for ensuring that funding agreements and contractor/consultant agreements contain:</w:t>
      </w:r>
    </w:p>
    <w:p w14:paraId="396E03A3" w14:textId="77777777" w:rsidR="00CB687F" w:rsidRPr="00CB687F" w:rsidRDefault="00CB687F" w:rsidP="00CB687F">
      <w:pPr>
        <w:pStyle w:val="NoSpacing"/>
        <w:numPr>
          <w:ilvl w:val="0"/>
          <w:numId w:val="5"/>
        </w:numPr>
      </w:pPr>
      <w:r w:rsidRPr="00CB687F">
        <w:t>Performance monitoring and evaluation arrangements;</w:t>
      </w:r>
    </w:p>
    <w:p w14:paraId="4C8E6519" w14:textId="77777777" w:rsidR="00CB687F" w:rsidRPr="00CB687F" w:rsidRDefault="00CB687F" w:rsidP="00CB687F">
      <w:pPr>
        <w:pStyle w:val="NoSpacing"/>
        <w:numPr>
          <w:ilvl w:val="0"/>
          <w:numId w:val="5"/>
        </w:numPr>
      </w:pPr>
      <w:r w:rsidRPr="00CB687F">
        <w:t>Reporting requirements;</w:t>
      </w:r>
    </w:p>
    <w:p w14:paraId="0DC9449B" w14:textId="77777777" w:rsidR="00CB687F" w:rsidRPr="00CB687F" w:rsidRDefault="00CB687F" w:rsidP="00CB687F">
      <w:pPr>
        <w:pStyle w:val="NoSpacing"/>
        <w:numPr>
          <w:ilvl w:val="0"/>
          <w:numId w:val="5"/>
        </w:numPr>
      </w:pPr>
      <w:r w:rsidRPr="00CB687F">
        <w:t>Management arrangements;</w:t>
      </w:r>
    </w:p>
    <w:p w14:paraId="7D599D96" w14:textId="77777777" w:rsidR="00CB687F" w:rsidRPr="00CB687F" w:rsidRDefault="00CB687F" w:rsidP="00CB687F">
      <w:pPr>
        <w:pStyle w:val="NoSpacing"/>
        <w:numPr>
          <w:ilvl w:val="0"/>
          <w:numId w:val="5"/>
        </w:numPr>
      </w:pPr>
      <w:r w:rsidRPr="00CB687F">
        <w:t>Insurance and indemnity arrangements;</w:t>
      </w:r>
    </w:p>
    <w:p w14:paraId="71FF74EE" w14:textId="77777777" w:rsidR="00CB687F" w:rsidRPr="00CB687F" w:rsidRDefault="00CB687F" w:rsidP="00CB687F">
      <w:pPr>
        <w:pStyle w:val="NoSpacing"/>
        <w:numPr>
          <w:ilvl w:val="0"/>
          <w:numId w:val="5"/>
        </w:numPr>
      </w:pPr>
      <w:r w:rsidRPr="00CB687F">
        <w:t>Confidentiality and intellectual property rights; and</w:t>
      </w:r>
    </w:p>
    <w:p w14:paraId="7035CEF6" w14:textId="77777777" w:rsidR="00CB687F" w:rsidRPr="00CB687F" w:rsidRDefault="00CB687F" w:rsidP="00CB687F">
      <w:pPr>
        <w:pStyle w:val="NoSpacing"/>
        <w:numPr>
          <w:ilvl w:val="0"/>
          <w:numId w:val="5"/>
        </w:numPr>
      </w:pPr>
      <w:r w:rsidRPr="00CB687F">
        <w:t>Contract negotiation and documentation.</w:t>
      </w:r>
    </w:p>
    <w:p w14:paraId="5A479F7E" w14:textId="77777777" w:rsidR="00CB687F" w:rsidRPr="00CB687F" w:rsidRDefault="00CB687F" w:rsidP="00CB687F">
      <w:pPr>
        <w:pStyle w:val="NoSpacing"/>
      </w:pPr>
    </w:p>
    <w:p w14:paraId="10035397" w14:textId="48FA7359" w:rsidR="00CB687F" w:rsidRPr="00CB687F" w:rsidRDefault="00CB687F" w:rsidP="00CB687F">
      <w:pPr>
        <w:pStyle w:val="Heading3"/>
      </w:pPr>
      <w:r w:rsidRPr="00CB687F">
        <w:t>Managing Compliance</w:t>
      </w:r>
    </w:p>
    <w:p w14:paraId="6AAA71BD" w14:textId="4B55D991" w:rsidR="00CB687F" w:rsidRPr="00CB687F" w:rsidRDefault="00CB687F" w:rsidP="00CB687F">
      <w:pPr>
        <w:pStyle w:val="NoSpacing"/>
      </w:pPr>
      <w:r w:rsidRPr="00CB687F">
        <w:t xml:space="preserve">All contracts will be monitored for compliance by </w:t>
      </w:r>
      <w:r w:rsidR="00007F42">
        <w:t>[ORG]</w:t>
      </w:r>
      <w:r w:rsidRPr="00CB687F">
        <w:t xml:space="preserve"> and by the contract partner.</w:t>
      </w:r>
    </w:p>
    <w:p w14:paraId="27DA4E1B" w14:textId="77777777" w:rsidR="00CB687F" w:rsidRPr="00CB687F" w:rsidRDefault="00CB687F" w:rsidP="00CB687F">
      <w:pPr>
        <w:pStyle w:val="NoSpacing"/>
      </w:pPr>
    </w:p>
    <w:p w14:paraId="7CF3319B" w14:textId="2120B1E7" w:rsidR="00CB687F" w:rsidRPr="00CB687F" w:rsidRDefault="00CB687F" w:rsidP="00CB687F">
      <w:pPr>
        <w:pStyle w:val="NoSpacing"/>
      </w:pPr>
      <w:r w:rsidRPr="00CB687F">
        <w:t xml:space="preserve">A register of reports required in relation to any contract or funding agreement will also be kept by the </w:t>
      </w:r>
      <w:r w:rsidR="009E00D3">
        <w:t>Administrative Support Officer</w:t>
      </w:r>
      <w:r w:rsidRPr="00CB687F">
        <w:t xml:space="preserve"> to the CEO and provided to the CEO on request. This register will indicate what reports come due on an annual basis, and dates they fall due.</w:t>
      </w:r>
    </w:p>
    <w:p w14:paraId="0F2CC959" w14:textId="77777777" w:rsidR="00BA6C86" w:rsidRDefault="00BA6C86" w:rsidP="00BA6C86">
      <w:pPr>
        <w:pStyle w:val="NoSpacing"/>
      </w:pPr>
    </w:p>
    <w:p w14:paraId="443526EF" w14:textId="77777777" w:rsidR="00BA6C86" w:rsidRDefault="00BA6C86" w:rsidP="00BD29A0">
      <w:pPr>
        <w:pStyle w:val="Heading2"/>
      </w:pPr>
      <w:r>
        <w:t>Disciplinary Action</w:t>
      </w:r>
    </w:p>
    <w:p w14:paraId="4623833A" w14:textId="050E781B" w:rsidR="00BA6C86" w:rsidRDefault="00BA6C86" w:rsidP="00BA6C86">
      <w:pPr>
        <w:pStyle w:val="NoSpacing"/>
      </w:pPr>
      <w:r>
        <w:t xml:space="preserve">Disciplinary action will be taken by </w:t>
      </w:r>
      <w:r w:rsidR="00007F42">
        <w:t>[ORG]</w:t>
      </w:r>
      <w:r>
        <w:t xml:space="preserve"> against any Worker or Board Director found to have breached this policy. Action taken will be appropriate to the breach and may result in the termination of the Worker’s employment or the Board Director’s appointment.</w:t>
      </w:r>
    </w:p>
    <w:p w14:paraId="5B6E3131" w14:textId="77777777" w:rsidR="00BA6C86" w:rsidRDefault="00BA6C86" w:rsidP="00BA6C86">
      <w:pPr>
        <w:pStyle w:val="NoSpacing"/>
      </w:pPr>
    </w:p>
    <w:p w14:paraId="2D621EEF" w14:textId="77777777" w:rsidR="00BA6C86" w:rsidRDefault="00BA6C86" w:rsidP="00BD29A0">
      <w:pPr>
        <w:pStyle w:val="Heading2"/>
      </w:pPr>
      <w:r>
        <w:t>Related Policies</w:t>
      </w:r>
    </w:p>
    <w:p w14:paraId="6C6DA8D4" w14:textId="1AAD80C3" w:rsidR="00BA6C86" w:rsidRDefault="00CB687F" w:rsidP="00D36AA8">
      <w:pPr>
        <w:pStyle w:val="NoSpacing"/>
        <w:numPr>
          <w:ilvl w:val="0"/>
          <w:numId w:val="4"/>
        </w:numPr>
      </w:pPr>
      <w:r>
        <w:t>Board of Directors Handbook</w:t>
      </w:r>
    </w:p>
    <w:p w14:paraId="3F738A4D" w14:textId="7A379693" w:rsidR="00CB687F" w:rsidRDefault="57F2519F" w:rsidP="00D36AA8">
      <w:pPr>
        <w:pStyle w:val="NoSpacing"/>
        <w:numPr>
          <w:ilvl w:val="0"/>
          <w:numId w:val="4"/>
        </w:numPr>
      </w:pPr>
      <w:r>
        <w:t xml:space="preserve">Policy 14 – </w:t>
      </w:r>
      <w:r w:rsidR="00CB687F">
        <w:t>Delegations Policy</w:t>
      </w:r>
    </w:p>
    <w:p w14:paraId="254EB1C0" w14:textId="619300B9" w:rsidR="00CB687F" w:rsidRDefault="7C889985" w:rsidP="00D36AA8">
      <w:pPr>
        <w:pStyle w:val="NoSpacing"/>
        <w:numPr>
          <w:ilvl w:val="0"/>
          <w:numId w:val="4"/>
        </w:numPr>
      </w:pPr>
      <w:r>
        <w:t xml:space="preserve">Policy 14 Register – </w:t>
      </w:r>
      <w:r w:rsidR="00CB687F">
        <w:t>Delegations Register</w:t>
      </w:r>
    </w:p>
    <w:p w14:paraId="297880D8" w14:textId="1C8AA028" w:rsidR="78CD4876" w:rsidRDefault="78CD4876" w:rsidP="0478727C">
      <w:pPr>
        <w:pStyle w:val="NoSpacing"/>
        <w:numPr>
          <w:ilvl w:val="0"/>
          <w:numId w:val="4"/>
        </w:numPr>
      </w:pPr>
      <w:r>
        <w:t xml:space="preserve">Policy 15 – Accounting Protocols Policy </w:t>
      </w:r>
    </w:p>
    <w:p w14:paraId="12513373" w14:textId="77777777" w:rsidR="00BD29A0" w:rsidRDefault="00BD29A0" w:rsidP="00BA6C86">
      <w:pPr>
        <w:pStyle w:val="NoSpacing"/>
      </w:pPr>
    </w:p>
    <w:p w14:paraId="0B63C511" w14:textId="7CAA1C31" w:rsidR="0017217D" w:rsidRDefault="00BA6C86" w:rsidP="004130B3">
      <w:pPr>
        <w:pStyle w:val="Heading2"/>
      </w:pPr>
      <w:r>
        <w:t>Review</w:t>
      </w:r>
    </w:p>
    <w:tbl>
      <w:tblPr>
        <w:tblW w:w="9073" w:type="dxa"/>
        <w:tblInd w:w="-3" w:type="dxa"/>
        <w:tblBorders>
          <w:top w:val="single" w:sz="2" w:space="0" w:color="ED7D31" w:themeColor="accent2"/>
          <w:left w:val="single" w:sz="2" w:space="0" w:color="ED7D31" w:themeColor="accent2"/>
          <w:bottom w:val="single" w:sz="2" w:space="0" w:color="ED7D31" w:themeColor="accent2"/>
          <w:right w:val="single" w:sz="2" w:space="0" w:color="ED7D31" w:themeColor="accent2"/>
          <w:insideH w:val="single" w:sz="2" w:space="0" w:color="ED7D31" w:themeColor="accent2"/>
          <w:insideV w:val="single" w:sz="2" w:space="0" w:color="ED7D31" w:themeColor="accent2"/>
        </w:tblBorders>
        <w:tblLayout w:type="fixed"/>
        <w:tblCellMar>
          <w:left w:w="0" w:type="dxa"/>
          <w:right w:w="0" w:type="dxa"/>
        </w:tblCellMar>
        <w:tblLook w:val="01E0" w:firstRow="1" w:lastRow="1" w:firstColumn="1" w:lastColumn="1" w:noHBand="0" w:noVBand="0"/>
      </w:tblPr>
      <w:tblGrid>
        <w:gridCol w:w="1640"/>
        <w:gridCol w:w="3279"/>
        <w:gridCol w:w="2077"/>
        <w:gridCol w:w="2077"/>
      </w:tblGrid>
      <w:tr w:rsidR="0017217D" w14:paraId="176A6671" w14:textId="77777777" w:rsidTr="30D450B7">
        <w:trPr>
          <w:trHeight w:val="300"/>
        </w:trPr>
        <w:tc>
          <w:tcPr>
            <w:tcW w:w="6996" w:type="dxa"/>
            <w:gridSpan w:val="3"/>
            <w:shd w:val="clear" w:color="auto" w:fill="ED7D31" w:themeFill="accent2"/>
          </w:tcPr>
          <w:p w14:paraId="3CF829DA" w14:textId="77777777" w:rsidR="0017217D" w:rsidRDefault="0017217D" w:rsidP="00B41154">
            <w:pPr>
              <w:pStyle w:val="TableParagraph"/>
              <w:spacing w:before="39" w:line="218" w:lineRule="exact"/>
              <w:rPr>
                <w:b/>
                <w:sz w:val="18"/>
              </w:rPr>
            </w:pPr>
            <w:r w:rsidRPr="00A95FA5">
              <w:rPr>
                <w:b/>
                <w:color w:val="FFFFFF" w:themeColor="background1"/>
                <w:sz w:val="18"/>
              </w:rPr>
              <w:t>Reviewing and approving this policy</w:t>
            </w:r>
          </w:p>
        </w:tc>
        <w:tc>
          <w:tcPr>
            <w:tcW w:w="2077" w:type="dxa"/>
            <w:shd w:val="clear" w:color="auto" w:fill="ED7D31" w:themeFill="accent2"/>
          </w:tcPr>
          <w:p w14:paraId="4D12AA4E" w14:textId="5A5DAA96" w:rsidR="30D450B7" w:rsidRDefault="30D450B7" w:rsidP="30D450B7">
            <w:pPr>
              <w:pStyle w:val="TableParagraph"/>
              <w:spacing w:line="218" w:lineRule="exact"/>
              <w:rPr>
                <w:b/>
                <w:bCs/>
                <w:color w:val="FFFFFF" w:themeColor="background1"/>
                <w:sz w:val="18"/>
                <w:szCs w:val="18"/>
              </w:rPr>
            </w:pPr>
          </w:p>
        </w:tc>
      </w:tr>
      <w:tr w:rsidR="0017217D" w14:paraId="6E561D55" w14:textId="77777777" w:rsidTr="30D450B7">
        <w:trPr>
          <w:trHeight w:val="300"/>
        </w:trPr>
        <w:tc>
          <w:tcPr>
            <w:tcW w:w="1640" w:type="dxa"/>
          </w:tcPr>
          <w:p w14:paraId="67E8B326" w14:textId="77777777" w:rsidR="0017217D" w:rsidRDefault="0017217D" w:rsidP="00B41154">
            <w:pPr>
              <w:pStyle w:val="TableParagraph"/>
              <w:spacing w:before="39" w:line="216" w:lineRule="exact"/>
              <w:rPr>
                <w:b/>
                <w:sz w:val="18"/>
              </w:rPr>
            </w:pPr>
            <w:r>
              <w:rPr>
                <w:b/>
                <w:sz w:val="18"/>
              </w:rPr>
              <w:t>Frequency</w:t>
            </w:r>
          </w:p>
        </w:tc>
        <w:tc>
          <w:tcPr>
            <w:tcW w:w="3279" w:type="dxa"/>
          </w:tcPr>
          <w:p w14:paraId="652D9830" w14:textId="77777777" w:rsidR="0017217D" w:rsidRDefault="0017217D" w:rsidP="00B41154">
            <w:pPr>
              <w:pStyle w:val="TableParagraph"/>
              <w:spacing w:before="39" w:line="216" w:lineRule="exact"/>
              <w:ind w:left="145"/>
              <w:rPr>
                <w:b/>
                <w:sz w:val="18"/>
              </w:rPr>
            </w:pPr>
            <w:r>
              <w:rPr>
                <w:b/>
                <w:sz w:val="18"/>
              </w:rPr>
              <w:t>Person responsible</w:t>
            </w:r>
          </w:p>
        </w:tc>
        <w:tc>
          <w:tcPr>
            <w:tcW w:w="2077" w:type="dxa"/>
          </w:tcPr>
          <w:p w14:paraId="21344C0C" w14:textId="77777777" w:rsidR="0017217D" w:rsidRDefault="0017217D" w:rsidP="00B41154">
            <w:pPr>
              <w:pStyle w:val="TableParagraph"/>
              <w:spacing w:before="39" w:line="216" w:lineRule="exact"/>
              <w:ind w:left="103"/>
              <w:rPr>
                <w:b/>
                <w:sz w:val="18"/>
              </w:rPr>
            </w:pPr>
            <w:r>
              <w:rPr>
                <w:b/>
                <w:sz w:val="18"/>
              </w:rPr>
              <w:t>Approval</w:t>
            </w:r>
          </w:p>
        </w:tc>
        <w:tc>
          <w:tcPr>
            <w:tcW w:w="2077" w:type="dxa"/>
          </w:tcPr>
          <w:p w14:paraId="72CE4150" w14:textId="482066E9" w:rsidR="2E5AC294" w:rsidRDefault="2E5AC294" w:rsidP="30D450B7">
            <w:pPr>
              <w:pStyle w:val="TableParagraph"/>
              <w:spacing w:line="216" w:lineRule="exact"/>
              <w:rPr>
                <w:b/>
                <w:bCs/>
                <w:sz w:val="18"/>
                <w:szCs w:val="18"/>
              </w:rPr>
            </w:pPr>
            <w:r w:rsidRPr="30D450B7">
              <w:rPr>
                <w:b/>
                <w:bCs/>
                <w:sz w:val="18"/>
                <w:szCs w:val="18"/>
              </w:rPr>
              <w:t>Approved</w:t>
            </w:r>
          </w:p>
        </w:tc>
      </w:tr>
      <w:tr w:rsidR="0017217D" w14:paraId="30B4A971" w14:textId="77777777" w:rsidTr="30D450B7">
        <w:trPr>
          <w:trHeight w:val="300"/>
        </w:trPr>
        <w:tc>
          <w:tcPr>
            <w:tcW w:w="1640" w:type="dxa"/>
          </w:tcPr>
          <w:p w14:paraId="78B02FD3" w14:textId="1C9BC877" w:rsidR="0017217D" w:rsidRDefault="42410738" w:rsidP="0478727C">
            <w:pPr>
              <w:pStyle w:val="TableParagraph"/>
              <w:spacing w:before="37"/>
            </w:pPr>
            <w:r w:rsidRPr="0478727C">
              <w:rPr>
                <w:sz w:val="18"/>
                <w:szCs w:val="18"/>
              </w:rPr>
              <w:t>Every 2 years</w:t>
            </w:r>
          </w:p>
        </w:tc>
        <w:tc>
          <w:tcPr>
            <w:tcW w:w="3279" w:type="dxa"/>
          </w:tcPr>
          <w:p w14:paraId="1A27ABDD" w14:textId="77777777" w:rsidR="0017217D" w:rsidRDefault="0017217D" w:rsidP="00B41154">
            <w:pPr>
              <w:pStyle w:val="TableParagraph"/>
              <w:spacing w:before="37"/>
              <w:rPr>
                <w:sz w:val="18"/>
              </w:rPr>
            </w:pPr>
            <w:r>
              <w:rPr>
                <w:sz w:val="18"/>
              </w:rPr>
              <w:t>Chief Executive Officer</w:t>
            </w:r>
          </w:p>
        </w:tc>
        <w:tc>
          <w:tcPr>
            <w:tcW w:w="2077" w:type="dxa"/>
          </w:tcPr>
          <w:p w14:paraId="7EF8FAA6" w14:textId="77777777" w:rsidR="0017217D" w:rsidRDefault="0017217D" w:rsidP="00B41154">
            <w:pPr>
              <w:pStyle w:val="TableParagraph"/>
              <w:spacing w:before="37"/>
              <w:ind w:left="103"/>
              <w:rPr>
                <w:sz w:val="18"/>
              </w:rPr>
            </w:pPr>
            <w:r>
              <w:rPr>
                <w:sz w:val="18"/>
              </w:rPr>
              <w:t>Chief Executive Officer</w:t>
            </w:r>
          </w:p>
        </w:tc>
        <w:tc>
          <w:tcPr>
            <w:tcW w:w="2077" w:type="dxa"/>
          </w:tcPr>
          <w:p w14:paraId="4936E850" w14:textId="17225D0E" w:rsidR="4CA568B6" w:rsidRDefault="4CA568B6" w:rsidP="30D450B7">
            <w:pPr>
              <w:pStyle w:val="TableParagraph"/>
              <w:rPr>
                <w:sz w:val="18"/>
                <w:szCs w:val="18"/>
              </w:rPr>
            </w:pPr>
          </w:p>
        </w:tc>
      </w:tr>
    </w:tbl>
    <w:p w14:paraId="46E792D1" w14:textId="77777777" w:rsidR="0017217D" w:rsidRDefault="0017217D" w:rsidP="0017217D">
      <w:pPr>
        <w:pStyle w:val="NoSpacing"/>
      </w:pPr>
    </w:p>
    <w:sectPr w:rsidR="0017217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1AC59" w14:textId="77777777" w:rsidR="0046609C" w:rsidRDefault="0046609C" w:rsidP="0017217D">
      <w:r>
        <w:separator/>
      </w:r>
    </w:p>
  </w:endnote>
  <w:endnote w:type="continuationSeparator" w:id="0">
    <w:p w14:paraId="0B6B74B8" w14:textId="77777777" w:rsidR="0046609C" w:rsidRDefault="0046609C" w:rsidP="0017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51475389"/>
      <w:docPartObj>
        <w:docPartGallery w:val="Page Numbers (Bottom of Page)"/>
        <w:docPartUnique/>
      </w:docPartObj>
    </w:sdtPr>
    <w:sdtEndPr>
      <w:rPr>
        <w:noProof/>
      </w:rPr>
    </w:sdtEndPr>
    <w:sdtContent>
      <w:p w14:paraId="2CBB8430" w14:textId="754BA880" w:rsidR="007B20A2" w:rsidRPr="004130B3" w:rsidRDefault="007B20A2">
        <w:pPr>
          <w:pStyle w:val="Footer"/>
          <w:jc w:val="right"/>
          <w:rPr>
            <w:sz w:val="20"/>
            <w:szCs w:val="20"/>
          </w:rPr>
        </w:pPr>
        <w:r w:rsidRPr="004130B3">
          <w:rPr>
            <w:sz w:val="20"/>
            <w:szCs w:val="20"/>
          </w:rPr>
          <w:fldChar w:fldCharType="begin"/>
        </w:r>
        <w:r w:rsidRPr="004130B3">
          <w:rPr>
            <w:sz w:val="20"/>
            <w:szCs w:val="20"/>
          </w:rPr>
          <w:instrText xml:space="preserve"> PAGE   \* MERGEFORMAT </w:instrText>
        </w:r>
        <w:r w:rsidRPr="004130B3">
          <w:rPr>
            <w:sz w:val="20"/>
            <w:szCs w:val="20"/>
          </w:rPr>
          <w:fldChar w:fldCharType="separate"/>
        </w:r>
        <w:r w:rsidRPr="004130B3">
          <w:rPr>
            <w:noProof/>
            <w:sz w:val="20"/>
            <w:szCs w:val="20"/>
          </w:rPr>
          <w:t>2</w:t>
        </w:r>
        <w:r w:rsidRPr="004130B3">
          <w:rPr>
            <w:noProof/>
            <w:sz w:val="20"/>
            <w:szCs w:val="20"/>
          </w:rPr>
          <w:fldChar w:fldCharType="end"/>
        </w:r>
      </w:p>
    </w:sdtContent>
  </w:sdt>
  <w:p w14:paraId="00BCB3C1" w14:textId="43710A2B" w:rsidR="007B20A2" w:rsidRPr="004130B3" w:rsidRDefault="004130B3">
    <w:pPr>
      <w:pStyle w:val="Footer"/>
      <w:rPr>
        <w:sz w:val="20"/>
        <w:szCs w:val="20"/>
      </w:rPr>
    </w:pPr>
    <w:r w:rsidRPr="004130B3">
      <w:rPr>
        <w:sz w:val="20"/>
        <w:szCs w:val="20"/>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27EE3" w14:textId="77777777" w:rsidR="0046609C" w:rsidRDefault="0046609C" w:rsidP="0017217D">
      <w:r>
        <w:separator/>
      </w:r>
    </w:p>
  </w:footnote>
  <w:footnote w:type="continuationSeparator" w:id="0">
    <w:p w14:paraId="77C97648" w14:textId="77777777" w:rsidR="0046609C" w:rsidRDefault="0046609C" w:rsidP="0017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76B32" w14:textId="77777777" w:rsidR="00015A47" w:rsidRDefault="00015A47" w:rsidP="00015A47">
    <w:pPr>
      <w:pStyle w:val="Header"/>
      <w:jc w:val="right"/>
      <w:rPr>
        <w:sz w:val="20"/>
        <w:szCs w:val="20"/>
        <w:lang w:val="en-US"/>
      </w:rPr>
    </w:pPr>
    <w:r>
      <w:rPr>
        <w:noProof/>
      </w:rPr>
      <mc:AlternateContent>
        <mc:Choice Requires="wps">
          <w:drawing>
            <wp:anchor distT="45720" distB="45720" distL="114300" distR="114300" simplePos="0" relativeHeight="251659264" behindDoc="0" locked="0" layoutInCell="1" allowOverlap="1" wp14:anchorId="22D3C340" wp14:editId="30F628D8">
              <wp:simplePos x="0" y="0"/>
              <wp:positionH relativeFrom="column">
                <wp:posOffset>-238760</wp:posOffset>
              </wp:positionH>
              <wp:positionV relativeFrom="paragraph">
                <wp:posOffset>7620</wp:posOffset>
              </wp:positionV>
              <wp:extent cx="2320290" cy="461645"/>
              <wp:effectExtent l="0" t="0" r="12700" b="15875"/>
              <wp:wrapSquare wrapText="bothSides"/>
              <wp:docPr id="14258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41325"/>
                      </a:xfrm>
                      <a:prstGeom prst="rect">
                        <a:avLst/>
                      </a:prstGeom>
                      <a:solidFill>
                        <a:srgbClr val="FFFFFF"/>
                      </a:solidFill>
                      <a:ln w="9525">
                        <a:solidFill>
                          <a:srgbClr val="000000"/>
                        </a:solidFill>
                        <a:miter lim="800000"/>
                        <a:headEnd/>
                        <a:tailEnd/>
                      </a:ln>
                    </wps:spPr>
                    <wps:txbx>
                      <w:txbxContent>
                        <w:p w14:paraId="22CF8C72" w14:textId="77777777" w:rsidR="00015A47" w:rsidRDefault="00015A47" w:rsidP="00015A47">
                          <w:pPr>
                            <w:rPr>
                              <w:lang w:val="en-US"/>
                            </w:rPr>
                          </w:pPr>
                          <w:r>
                            <w:rPr>
                              <w:lang w:val="en-US"/>
                            </w:rPr>
                            <w:t>REPLACE THIS TEXT BOX WITH LOGO AND COMPANY NAME</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D3C340" id="_x0000_t202" coordsize="21600,21600" o:spt="202" path="m,l,21600r21600,l21600,xe">
              <v:stroke joinstyle="miter"/>
              <v:path gradientshapeok="t" o:connecttype="rect"/>
            </v:shapetype>
            <v:shape id="Text Box 5" o:spid="_x0000_s1026" type="#_x0000_t202" style="position:absolute;left:0;text-align:left;margin-left:-18.8pt;margin-top:.6pt;width:182.7pt;height:36.3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">
              <v:textbox style="mso-fit-shape-to-text:t">
                <w:txbxContent>
                  <w:p w14:paraId="22CF8C72" w14:textId="77777777" w:rsidR="00015A47" w:rsidRDefault="00015A47" w:rsidP="00015A47">
                    <w:pPr>
                      <w:rPr>
                        <w:lang w:val="en-US"/>
                      </w:rPr>
                    </w:pPr>
                    <w:r>
                      <w:rPr>
                        <w:lang w:val="en-US"/>
                      </w:rPr>
                      <w:t>REPLACE THIS TEXT BOX WITH LOGO AND COMPANY NAME</w:t>
                    </w:r>
                  </w:p>
                </w:txbxContent>
              </v:textbox>
              <w10:wrap type="square"/>
            </v:shape>
          </w:pict>
        </mc:Fallback>
      </mc:AlternateContent>
    </w:r>
    <w:r>
      <w:rPr>
        <w:noProof/>
        <w:sz w:val="20"/>
        <w:szCs w:val="20"/>
        <w:lang w:val="en-US"/>
      </w:rPr>
      <w:t>Website</w:t>
    </w:r>
  </w:p>
  <w:p w14:paraId="54584D68" w14:textId="77777777" w:rsidR="00015A47" w:rsidRDefault="00015A47" w:rsidP="00015A47">
    <w:pPr>
      <w:pStyle w:val="Header"/>
      <w:jc w:val="right"/>
      <w:rPr>
        <w:sz w:val="20"/>
        <w:szCs w:val="20"/>
        <w:lang w:val="en-US"/>
      </w:rPr>
    </w:pPr>
    <w:r>
      <w:rPr>
        <w:sz w:val="20"/>
        <w:szCs w:val="20"/>
        <w:lang w:val="en-US"/>
      </w:rPr>
      <w:t>Email</w:t>
    </w:r>
  </w:p>
  <w:p w14:paraId="5A9E6C5E" w14:textId="77777777" w:rsidR="00015A47" w:rsidRDefault="00015A47" w:rsidP="00015A47">
    <w:pPr>
      <w:pStyle w:val="Header"/>
      <w:jc w:val="right"/>
      <w:rPr>
        <w:sz w:val="20"/>
        <w:szCs w:val="20"/>
        <w:lang w:val="en-US"/>
      </w:rPr>
    </w:pPr>
  </w:p>
  <w:p w14:paraId="0AB026F9" w14:textId="77777777" w:rsidR="00015A47" w:rsidRDefault="00015A47" w:rsidP="00015A47">
    <w:pPr>
      <w:pStyle w:val="Header"/>
      <w:jc w:val="right"/>
      <w:rPr>
        <w:sz w:val="20"/>
        <w:szCs w:val="20"/>
        <w:lang w:val="en-US"/>
      </w:rPr>
    </w:pPr>
    <w:r>
      <w:rPr>
        <w:sz w:val="20"/>
        <w:szCs w:val="20"/>
        <w:lang w:val="en-US"/>
      </w:rPr>
      <w:t>ABN</w:t>
    </w:r>
  </w:p>
  <w:p w14:paraId="7521E727" w14:textId="77777777" w:rsidR="0017217D" w:rsidRPr="004130B3" w:rsidRDefault="0017217D" w:rsidP="00413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473E"/>
    <w:multiLevelType w:val="hybridMultilevel"/>
    <w:tmpl w:val="4790B90A"/>
    <w:lvl w:ilvl="0" w:tplc="7BDC1322">
      <w:start w:val="1"/>
      <w:numFmt w:val="lowerLetter"/>
      <w:lvlText w:val="(%1)"/>
      <w:lvlJc w:val="left"/>
      <w:pPr>
        <w:ind w:left="720" w:hanging="360"/>
      </w:pPr>
      <w:rPr>
        <w:rFonts w:ascii="Calibri" w:eastAsia="Calibri" w:hAnsi="Calibri" w:cs="Calibri" w:hint="default"/>
        <w:spacing w:val="-1"/>
        <w:w w:val="100"/>
        <w:sz w:val="22"/>
        <w:szCs w:val="22"/>
        <w:lang w:val="en-AU" w:eastAsia="en-AU" w:bidi="en-A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1B5FE2"/>
    <w:multiLevelType w:val="hybridMultilevel"/>
    <w:tmpl w:val="324E3478"/>
    <w:lvl w:ilvl="0" w:tplc="46A48232">
      <w:numFmt w:val="bullet"/>
      <w:lvlText w:val=""/>
      <w:lvlJc w:val="left"/>
      <w:pPr>
        <w:ind w:left="972" w:hanging="286"/>
      </w:pPr>
      <w:rPr>
        <w:rFonts w:ascii="Symbol" w:eastAsia="Symbol" w:hAnsi="Symbol" w:cs="Symbol" w:hint="default"/>
        <w:w w:val="100"/>
        <w:sz w:val="22"/>
        <w:szCs w:val="22"/>
        <w:lang w:val="en-AU" w:eastAsia="en-US" w:bidi="ar-SA"/>
      </w:rPr>
    </w:lvl>
    <w:lvl w:ilvl="1" w:tplc="37368FF2">
      <w:numFmt w:val="bullet"/>
      <w:lvlText w:val="•"/>
      <w:lvlJc w:val="left"/>
      <w:pPr>
        <w:ind w:left="1844" w:hanging="286"/>
      </w:pPr>
      <w:rPr>
        <w:rFonts w:hint="default"/>
        <w:lang w:val="en-AU" w:eastAsia="en-US" w:bidi="ar-SA"/>
      </w:rPr>
    </w:lvl>
    <w:lvl w:ilvl="2" w:tplc="E168F014">
      <w:numFmt w:val="bullet"/>
      <w:lvlText w:val="•"/>
      <w:lvlJc w:val="left"/>
      <w:pPr>
        <w:ind w:left="2709" w:hanging="286"/>
      </w:pPr>
      <w:rPr>
        <w:rFonts w:hint="default"/>
        <w:lang w:val="en-AU" w:eastAsia="en-US" w:bidi="ar-SA"/>
      </w:rPr>
    </w:lvl>
    <w:lvl w:ilvl="3" w:tplc="C82E469E">
      <w:numFmt w:val="bullet"/>
      <w:lvlText w:val="•"/>
      <w:lvlJc w:val="left"/>
      <w:pPr>
        <w:ind w:left="3573" w:hanging="286"/>
      </w:pPr>
      <w:rPr>
        <w:rFonts w:hint="default"/>
        <w:lang w:val="en-AU" w:eastAsia="en-US" w:bidi="ar-SA"/>
      </w:rPr>
    </w:lvl>
    <w:lvl w:ilvl="4" w:tplc="8BC0CA48">
      <w:numFmt w:val="bullet"/>
      <w:lvlText w:val="•"/>
      <w:lvlJc w:val="left"/>
      <w:pPr>
        <w:ind w:left="4438" w:hanging="286"/>
      </w:pPr>
      <w:rPr>
        <w:rFonts w:hint="default"/>
        <w:lang w:val="en-AU" w:eastAsia="en-US" w:bidi="ar-SA"/>
      </w:rPr>
    </w:lvl>
    <w:lvl w:ilvl="5" w:tplc="CFF22F80">
      <w:numFmt w:val="bullet"/>
      <w:lvlText w:val="•"/>
      <w:lvlJc w:val="left"/>
      <w:pPr>
        <w:ind w:left="5303" w:hanging="286"/>
      </w:pPr>
      <w:rPr>
        <w:rFonts w:hint="default"/>
        <w:lang w:val="en-AU" w:eastAsia="en-US" w:bidi="ar-SA"/>
      </w:rPr>
    </w:lvl>
    <w:lvl w:ilvl="6" w:tplc="CA5015EC">
      <w:numFmt w:val="bullet"/>
      <w:lvlText w:val="•"/>
      <w:lvlJc w:val="left"/>
      <w:pPr>
        <w:ind w:left="6167" w:hanging="286"/>
      </w:pPr>
      <w:rPr>
        <w:rFonts w:hint="default"/>
        <w:lang w:val="en-AU" w:eastAsia="en-US" w:bidi="ar-SA"/>
      </w:rPr>
    </w:lvl>
    <w:lvl w:ilvl="7" w:tplc="6CC2A918">
      <w:numFmt w:val="bullet"/>
      <w:lvlText w:val="•"/>
      <w:lvlJc w:val="left"/>
      <w:pPr>
        <w:ind w:left="7032" w:hanging="286"/>
      </w:pPr>
      <w:rPr>
        <w:rFonts w:hint="default"/>
        <w:lang w:val="en-AU" w:eastAsia="en-US" w:bidi="ar-SA"/>
      </w:rPr>
    </w:lvl>
    <w:lvl w:ilvl="8" w:tplc="7FEA980E">
      <w:numFmt w:val="bullet"/>
      <w:lvlText w:val="•"/>
      <w:lvlJc w:val="left"/>
      <w:pPr>
        <w:ind w:left="7897" w:hanging="286"/>
      </w:pPr>
      <w:rPr>
        <w:rFonts w:hint="default"/>
        <w:lang w:val="en-AU" w:eastAsia="en-US" w:bidi="ar-SA"/>
      </w:rPr>
    </w:lvl>
  </w:abstractNum>
  <w:abstractNum w:abstractNumId="2" w15:restartNumberingAfterBreak="0">
    <w:nsid w:val="3CAE2769"/>
    <w:multiLevelType w:val="hybridMultilevel"/>
    <w:tmpl w:val="37CE6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220788"/>
    <w:multiLevelType w:val="hybridMultilevel"/>
    <w:tmpl w:val="3252E210"/>
    <w:lvl w:ilvl="0" w:tplc="7BDC1322">
      <w:start w:val="1"/>
      <w:numFmt w:val="lowerLetter"/>
      <w:lvlText w:val="(%1)"/>
      <w:lvlJc w:val="left"/>
      <w:pPr>
        <w:ind w:left="720" w:hanging="360"/>
      </w:pPr>
      <w:rPr>
        <w:rFonts w:ascii="Calibri" w:eastAsia="Calibri" w:hAnsi="Calibri" w:cs="Calibri" w:hint="default"/>
        <w:spacing w:val="-1"/>
        <w:w w:val="100"/>
        <w:sz w:val="22"/>
        <w:szCs w:val="22"/>
        <w:lang w:val="en-AU" w:eastAsia="en-AU" w:bidi="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A545B85"/>
    <w:multiLevelType w:val="hybridMultilevel"/>
    <w:tmpl w:val="8E60A40E"/>
    <w:lvl w:ilvl="0" w:tplc="48C6484E">
      <w:numFmt w:val="bullet"/>
      <w:lvlText w:val="•"/>
      <w:lvlJc w:val="left"/>
      <w:pPr>
        <w:ind w:left="972" w:hanging="286"/>
      </w:pPr>
      <w:rPr>
        <w:rFonts w:ascii="Calibri" w:eastAsia="Calibri" w:hAnsi="Calibri" w:cs="Calibri" w:hint="default"/>
        <w:w w:val="100"/>
        <w:sz w:val="22"/>
        <w:szCs w:val="22"/>
        <w:lang w:val="en-AU" w:eastAsia="en-US" w:bidi="ar-SA"/>
      </w:rPr>
    </w:lvl>
    <w:lvl w:ilvl="1" w:tplc="58D68EE6">
      <w:numFmt w:val="bullet"/>
      <w:lvlText w:val="•"/>
      <w:lvlJc w:val="left"/>
      <w:pPr>
        <w:ind w:left="1844" w:hanging="286"/>
      </w:pPr>
      <w:rPr>
        <w:rFonts w:hint="default"/>
        <w:lang w:val="en-AU" w:eastAsia="en-US" w:bidi="ar-SA"/>
      </w:rPr>
    </w:lvl>
    <w:lvl w:ilvl="2" w:tplc="817E24D6">
      <w:numFmt w:val="bullet"/>
      <w:lvlText w:val="•"/>
      <w:lvlJc w:val="left"/>
      <w:pPr>
        <w:ind w:left="2709" w:hanging="286"/>
      </w:pPr>
      <w:rPr>
        <w:rFonts w:hint="default"/>
        <w:lang w:val="en-AU" w:eastAsia="en-US" w:bidi="ar-SA"/>
      </w:rPr>
    </w:lvl>
    <w:lvl w:ilvl="3" w:tplc="8E2A6B68">
      <w:numFmt w:val="bullet"/>
      <w:lvlText w:val="•"/>
      <w:lvlJc w:val="left"/>
      <w:pPr>
        <w:ind w:left="3573" w:hanging="286"/>
      </w:pPr>
      <w:rPr>
        <w:rFonts w:hint="default"/>
        <w:lang w:val="en-AU" w:eastAsia="en-US" w:bidi="ar-SA"/>
      </w:rPr>
    </w:lvl>
    <w:lvl w:ilvl="4" w:tplc="E1727236">
      <w:numFmt w:val="bullet"/>
      <w:lvlText w:val="•"/>
      <w:lvlJc w:val="left"/>
      <w:pPr>
        <w:ind w:left="4438" w:hanging="286"/>
      </w:pPr>
      <w:rPr>
        <w:rFonts w:hint="default"/>
        <w:lang w:val="en-AU" w:eastAsia="en-US" w:bidi="ar-SA"/>
      </w:rPr>
    </w:lvl>
    <w:lvl w:ilvl="5" w:tplc="F1EED248">
      <w:numFmt w:val="bullet"/>
      <w:lvlText w:val="•"/>
      <w:lvlJc w:val="left"/>
      <w:pPr>
        <w:ind w:left="5303" w:hanging="286"/>
      </w:pPr>
      <w:rPr>
        <w:rFonts w:hint="default"/>
        <w:lang w:val="en-AU" w:eastAsia="en-US" w:bidi="ar-SA"/>
      </w:rPr>
    </w:lvl>
    <w:lvl w:ilvl="6" w:tplc="B9F230FE">
      <w:numFmt w:val="bullet"/>
      <w:lvlText w:val="•"/>
      <w:lvlJc w:val="left"/>
      <w:pPr>
        <w:ind w:left="6167" w:hanging="286"/>
      </w:pPr>
      <w:rPr>
        <w:rFonts w:hint="default"/>
        <w:lang w:val="en-AU" w:eastAsia="en-US" w:bidi="ar-SA"/>
      </w:rPr>
    </w:lvl>
    <w:lvl w:ilvl="7" w:tplc="F8569A6E">
      <w:numFmt w:val="bullet"/>
      <w:lvlText w:val="•"/>
      <w:lvlJc w:val="left"/>
      <w:pPr>
        <w:ind w:left="7032" w:hanging="286"/>
      </w:pPr>
      <w:rPr>
        <w:rFonts w:hint="default"/>
        <w:lang w:val="en-AU" w:eastAsia="en-US" w:bidi="ar-SA"/>
      </w:rPr>
    </w:lvl>
    <w:lvl w:ilvl="8" w:tplc="1108A350">
      <w:numFmt w:val="bullet"/>
      <w:lvlText w:val="•"/>
      <w:lvlJc w:val="left"/>
      <w:pPr>
        <w:ind w:left="7897" w:hanging="286"/>
      </w:pPr>
      <w:rPr>
        <w:rFonts w:hint="default"/>
        <w:lang w:val="en-AU" w:eastAsia="en-US" w:bidi="ar-SA"/>
      </w:rPr>
    </w:lvl>
  </w:abstractNum>
  <w:abstractNum w:abstractNumId="5" w15:restartNumberingAfterBreak="0">
    <w:nsid w:val="77A6751F"/>
    <w:multiLevelType w:val="hybridMultilevel"/>
    <w:tmpl w:val="7D36F660"/>
    <w:lvl w:ilvl="0" w:tplc="7BDC1322">
      <w:start w:val="1"/>
      <w:numFmt w:val="lowerLetter"/>
      <w:lvlText w:val="(%1)"/>
      <w:lvlJc w:val="left"/>
      <w:pPr>
        <w:ind w:left="720" w:hanging="360"/>
      </w:pPr>
      <w:rPr>
        <w:rFonts w:ascii="Calibri" w:eastAsia="Calibri" w:hAnsi="Calibri" w:cs="Calibri" w:hint="default"/>
        <w:spacing w:val="-1"/>
        <w:w w:val="100"/>
        <w:sz w:val="22"/>
        <w:szCs w:val="22"/>
        <w:lang w:val="en-AU" w:eastAsia="en-AU" w:bidi="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6703522">
    <w:abstractNumId w:val="5"/>
  </w:num>
  <w:num w:numId="2" w16cid:durableId="780075453">
    <w:abstractNumId w:val="3"/>
  </w:num>
  <w:num w:numId="3" w16cid:durableId="1624338483">
    <w:abstractNumId w:val="0"/>
  </w:num>
  <w:num w:numId="4" w16cid:durableId="169955401">
    <w:abstractNumId w:val="2"/>
  </w:num>
  <w:num w:numId="5" w16cid:durableId="976295791">
    <w:abstractNumId w:val="1"/>
  </w:num>
  <w:num w:numId="6" w16cid:durableId="721094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7D"/>
    <w:rsid w:val="00007F42"/>
    <w:rsid w:val="00014E33"/>
    <w:rsid w:val="00015A47"/>
    <w:rsid w:val="000C7F24"/>
    <w:rsid w:val="0017217D"/>
    <w:rsid w:val="0027300A"/>
    <w:rsid w:val="004130B3"/>
    <w:rsid w:val="0046609C"/>
    <w:rsid w:val="00473F64"/>
    <w:rsid w:val="005753AF"/>
    <w:rsid w:val="005B02AD"/>
    <w:rsid w:val="005D1029"/>
    <w:rsid w:val="005D2C20"/>
    <w:rsid w:val="007A00F4"/>
    <w:rsid w:val="007B20A2"/>
    <w:rsid w:val="007D17C0"/>
    <w:rsid w:val="0089563B"/>
    <w:rsid w:val="00922D6C"/>
    <w:rsid w:val="009E00D3"/>
    <w:rsid w:val="00AB0F01"/>
    <w:rsid w:val="00AB304B"/>
    <w:rsid w:val="00BA6C86"/>
    <w:rsid w:val="00BD29A0"/>
    <w:rsid w:val="00C227D8"/>
    <w:rsid w:val="00CB687F"/>
    <w:rsid w:val="00D36AA8"/>
    <w:rsid w:val="00D95A02"/>
    <w:rsid w:val="00F52E43"/>
    <w:rsid w:val="00FA0141"/>
    <w:rsid w:val="0478727C"/>
    <w:rsid w:val="052F4AE0"/>
    <w:rsid w:val="0533327D"/>
    <w:rsid w:val="07497FC9"/>
    <w:rsid w:val="0C129A2B"/>
    <w:rsid w:val="2E5AC294"/>
    <w:rsid w:val="30D450B7"/>
    <w:rsid w:val="326C9DAD"/>
    <w:rsid w:val="38C29F16"/>
    <w:rsid w:val="42410738"/>
    <w:rsid w:val="474E229B"/>
    <w:rsid w:val="4CA568B6"/>
    <w:rsid w:val="57F2519F"/>
    <w:rsid w:val="5C34E9A4"/>
    <w:rsid w:val="7696537B"/>
    <w:rsid w:val="78CD4876"/>
    <w:rsid w:val="7C889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8F1D"/>
  <w15:chartTrackingRefBased/>
  <w15:docId w15:val="{CAA6CF4B-D0D6-488F-8D95-D9AC48A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7D"/>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next w:val="Normal"/>
    <w:link w:val="Heading2Char"/>
    <w:uiPriority w:val="9"/>
    <w:unhideWhenUsed/>
    <w:qFormat/>
    <w:rsid w:val="00BA6C86"/>
    <w:pPr>
      <w:keepNext/>
      <w:keepLines/>
      <w:spacing w:before="40"/>
      <w:outlineLvl w:val="1"/>
    </w:pPr>
    <w:rPr>
      <w:rFonts w:asciiTheme="majorHAnsi" w:eastAsiaTheme="majorEastAsia" w:hAnsiTheme="majorHAnsi" w:cstheme="majorBidi"/>
      <w:b/>
      <w:color w:val="ED7D31" w:themeColor="accent2"/>
      <w:sz w:val="26"/>
      <w:szCs w:val="26"/>
    </w:rPr>
  </w:style>
  <w:style w:type="paragraph" w:styleId="Heading3">
    <w:name w:val="heading 3"/>
    <w:basedOn w:val="Normal"/>
    <w:next w:val="Normal"/>
    <w:link w:val="Heading3Char"/>
    <w:uiPriority w:val="9"/>
    <w:unhideWhenUsed/>
    <w:qFormat/>
    <w:rsid w:val="00BA6C86"/>
    <w:pPr>
      <w:keepNext/>
      <w:keepLines/>
      <w:spacing w:before="40"/>
      <w:outlineLvl w:val="2"/>
    </w:pPr>
    <w:rPr>
      <w:rFonts w:asciiTheme="majorHAnsi" w:eastAsiaTheme="majorEastAsia" w:hAnsiTheme="majorHAnsi" w:cstheme="majorBidi"/>
      <w:i/>
      <w:color w:val="ED7D31"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17D"/>
    <w:pPr>
      <w:widowControl/>
      <w:tabs>
        <w:tab w:val="center" w:pos="4513"/>
        <w:tab w:val="right" w:pos="9026"/>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7217D"/>
  </w:style>
  <w:style w:type="paragraph" w:styleId="Footer">
    <w:name w:val="footer"/>
    <w:basedOn w:val="Normal"/>
    <w:link w:val="FooterChar"/>
    <w:uiPriority w:val="99"/>
    <w:unhideWhenUsed/>
    <w:rsid w:val="0017217D"/>
    <w:pPr>
      <w:widowControl/>
      <w:tabs>
        <w:tab w:val="center" w:pos="4513"/>
        <w:tab w:val="right" w:pos="9026"/>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7217D"/>
  </w:style>
  <w:style w:type="character" w:styleId="Hyperlink">
    <w:name w:val="Hyperlink"/>
    <w:basedOn w:val="DefaultParagraphFont"/>
    <w:uiPriority w:val="99"/>
    <w:unhideWhenUsed/>
    <w:rsid w:val="0017217D"/>
    <w:rPr>
      <w:color w:val="0563C1" w:themeColor="hyperlink"/>
      <w:u w:val="single"/>
    </w:rPr>
  </w:style>
  <w:style w:type="paragraph" w:customStyle="1" w:styleId="TableParagraph">
    <w:name w:val="Table Paragraph"/>
    <w:basedOn w:val="Normal"/>
    <w:uiPriority w:val="1"/>
    <w:qFormat/>
    <w:rsid w:val="0017217D"/>
    <w:pPr>
      <w:spacing w:before="1"/>
      <w:ind w:left="107"/>
    </w:pPr>
  </w:style>
  <w:style w:type="paragraph" w:styleId="NoSpacing">
    <w:name w:val="No Spacing"/>
    <w:uiPriority w:val="1"/>
    <w:qFormat/>
    <w:rsid w:val="0017217D"/>
    <w:pPr>
      <w:widowControl w:val="0"/>
      <w:autoSpaceDE w:val="0"/>
      <w:autoSpaceDN w:val="0"/>
      <w:spacing w:after="0" w:line="240" w:lineRule="auto"/>
    </w:pPr>
    <w:rPr>
      <w:rFonts w:ascii="Calibri" w:eastAsia="Calibri" w:hAnsi="Calibri" w:cs="Calibri"/>
      <w:kern w:val="0"/>
      <w14:ligatures w14:val="none"/>
    </w:rPr>
  </w:style>
  <w:style w:type="character" w:customStyle="1" w:styleId="Heading2Char">
    <w:name w:val="Heading 2 Char"/>
    <w:basedOn w:val="DefaultParagraphFont"/>
    <w:link w:val="Heading2"/>
    <w:uiPriority w:val="9"/>
    <w:rsid w:val="00BA6C86"/>
    <w:rPr>
      <w:rFonts w:asciiTheme="majorHAnsi" w:eastAsiaTheme="majorEastAsia" w:hAnsiTheme="majorHAnsi" w:cstheme="majorBidi"/>
      <w:b/>
      <w:color w:val="ED7D31" w:themeColor="accent2"/>
      <w:kern w:val="0"/>
      <w:sz w:val="26"/>
      <w:szCs w:val="26"/>
      <w14:ligatures w14:val="none"/>
    </w:rPr>
  </w:style>
  <w:style w:type="character" w:customStyle="1" w:styleId="Heading3Char">
    <w:name w:val="Heading 3 Char"/>
    <w:basedOn w:val="DefaultParagraphFont"/>
    <w:link w:val="Heading3"/>
    <w:uiPriority w:val="9"/>
    <w:rsid w:val="00BA6C86"/>
    <w:rPr>
      <w:rFonts w:asciiTheme="majorHAnsi" w:eastAsiaTheme="majorEastAsia" w:hAnsiTheme="majorHAnsi" w:cstheme="majorBidi"/>
      <w:i/>
      <w:color w:val="ED7D31" w:themeColor="accent2"/>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64f92-f3ee-41be-be2c-7eb0ee0e370a">
      <Terms xmlns="http://schemas.microsoft.com/office/infopath/2007/PartnerControls"/>
    </lcf76f155ced4ddcb4097134ff3c332f>
    <TaxCatchAll xmlns="b751244d-6f2f-4492-ba0d-16a7b1085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57CC3D0D6D14FB3A3C08CE7D703FC" ma:contentTypeVersion="13" ma:contentTypeDescription="Create a new document." ma:contentTypeScope="" ma:versionID="8e2eadaecd50b7110347fbc89e57c8ea">
  <xsd:schema xmlns:xsd="http://www.w3.org/2001/XMLSchema" xmlns:xs="http://www.w3.org/2001/XMLSchema" xmlns:p="http://schemas.microsoft.com/office/2006/metadata/properties" xmlns:ns2="10a64f92-f3ee-41be-be2c-7eb0ee0e370a" xmlns:ns3="b751244d-6f2f-4492-ba0d-16a7b1085418" targetNamespace="http://schemas.microsoft.com/office/2006/metadata/properties" ma:root="true" ma:fieldsID="c058d2a81545962ce74905f955a8f738" ns2:_="" ns3:_="">
    <xsd:import namespace="10a64f92-f3ee-41be-be2c-7eb0ee0e370a"/>
    <xsd:import namespace="b751244d-6f2f-4492-ba0d-16a7b1085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64f92-f3ee-41be-be2c-7eb0ee0e3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d27efa-1914-471e-81cd-0acf0695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1244d-6f2f-4492-ba0d-16a7b1085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d2749-532b-4c75-9fee-3923ee52b20b}" ma:internalName="TaxCatchAll" ma:showField="CatchAllData" ma:web="b751244d-6f2f-4492-ba0d-16a7b1085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49FC9-BAC3-4E15-8AE2-5DF6038FE9D2}">
  <ds:schemaRefs>
    <ds:schemaRef ds:uri="http://schemas.microsoft.com/office/2006/metadata/properties"/>
    <ds:schemaRef ds:uri="http://schemas.microsoft.com/office/infopath/2007/PartnerControls"/>
    <ds:schemaRef ds:uri="10a64f92-f3ee-41be-be2c-7eb0ee0e370a"/>
    <ds:schemaRef ds:uri="b751244d-6f2f-4492-ba0d-16a7b1085418"/>
  </ds:schemaRefs>
</ds:datastoreItem>
</file>

<file path=customXml/itemProps2.xml><?xml version="1.0" encoding="utf-8"?>
<ds:datastoreItem xmlns:ds="http://schemas.openxmlformats.org/officeDocument/2006/customXml" ds:itemID="{31A706ED-65E2-4F91-95EA-DC5E8E5A8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64f92-f3ee-41be-be2c-7eb0ee0e370a"/>
    <ds:schemaRef ds:uri="b751244d-6f2f-4492-ba0d-16a7b1085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0CBB-BC00-48AE-AE52-7AD3C05A1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Greenswag</dc:creator>
  <cp:keywords/>
  <dc:description/>
  <cp:lastModifiedBy>Kari Greenswag</cp:lastModifiedBy>
  <cp:revision>10</cp:revision>
  <dcterms:created xsi:type="dcterms:W3CDTF">2024-05-23T02:36:00Z</dcterms:created>
  <dcterms:modified xsi:type="dcterms:W3CDTF">2025-03-10T00:26:00Z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0x01010018357CC3D0D6D14FB3A3C08CE7D703FC</vt:lpwstr>
  </property>
  <property fmtid="{D5CDD505-2E9C-101B-9397-08002B2CF9AE}" pid="3" name="MediaServiceImageTags">
    <vt:lpwstr/>
  </property>
</Properties>
</file>